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664F" w14:textId="77777777" w:rsidR="008E78D6" w:rsidRPr="00763A8D" w:rsidRDefault="008E78D6" w:rsidP="008E78D6">
      <w:pPr>
        <w:rPr>
          <w:rFonts w:ascii="Times New Roman" w:hAnsi="Times New Roman" w:cs="Times New Roman"/>
          <w:b/>
          <w:bCs/>
          <w:sz w:val="24"/>
          <w:szCs w:val="24"/>
        </w:rPr>
      </w:pPr>
      <w:r w:rsidRPr="00763A8D">
        <w:rPr>
          <w:rFonts w:ascii="Times New Roman" w:hAnsi="Times New Roman" w:cs="Times New Roman"/>
          <w:b/>
          <w:bCs/>
          <w:sz w:val="24"/>
          <w:szCs w:val="24"/>
        </w:rPr>
        <w:t>3. Giao dịch chứng khoán lô lẻ</w:t>
      </w:r>
    </w:p>
    <w:p w14:paraId="0C2FE56E" w14:textId="77777777" w:rsidR="008E78D6" w:rsidRPr="00763A8D" w:rsidRDefault="008E78D6" w:rsidP="008E78D6">
      <w:pPr>
        <w:rPr>
          <w:rFonts w:ascii="Times New Roman" w:hAnsi="Times New Roman" w:cs="Times New Roman"/>
          <w:sz w:val="24"/>
          <w:szCs w:val="24"/>
        </w:rPr>
      </w:pPr>
      <w:r w:rsidRPr="00763A8D">
        <w:rPr>
          <w:rFonts w:ascii="Times New Roman" w:hAnsi="Times New Roman" w:cs="Times New Roman"/>
          <w:sz w:val="24"/>
          <w:szCs w:val="24"/>
        </w:rPr>
        <w:t>Chứng khoán lô lẻ là các chứng khoán phát sinh có khối lượng nhỏ hơn một lô giao dịch theo quy định của từng sàn (hiện tại quy định là lô tròn 100 cổ phiếu). Lô lẻ thường phát sinh do việc trả cổ tức bằng cổ phiếu, phát hành cổ phiếu thưởng, tách cổ phiếu... hoặc thực hiện quyền mua cổ phiếu.</w:t>
      </w:r>
    </w:p>
    <w:p w14:paraId="248162D6" w14:textId="77777777" w:rsidR="008E78D6" w:rsidRPr="00763A8D" w:rsidRDefault="008E78D6" w:rsidP="008E78D6">
      <w:pPr>
        <w:rPr>
          <w:rFonts w:ascii="Times New Roman" w:hAnsi="Times New Roman" w:cs="Times New Roman"/>
          <w:sz w:val="24"/>
          <w:szCs w:val="24"/>
        </w:rPr>
      </w:pPr>
    </w:p>
    <w:p w14:paraId="4E28700B" w14:textId="33FD7FA9" w:rsidR="00014F44" w:rsidRPr="00763A8D" w:rsidRDefault="008E78D6" w:rsidP="008E78D6">
      <w:pPr>
        <w:rPr>
          <w:rFonts w:ascii="Times New Roman" w:hAnsi="Times New Roman" w:cs="Times New Roman"/>
          <w:sz w:val="24"/>
          <w:szCs w:val="24"/>
        </w:rPr>
      </w:pPr>
      <w:r w:rsidRPr="00763A8D">
        <w:rPr>
          <w:rFonts w:ascii="Times New Roman" w:hAnsi="Times New Roman" w:cs="Times New Roman"/>
          <w:sz w:val="24"/>
          <w:szCs w:val="24"/>
        </w:rPr>
        <w:t xml:space="preserve">Để giao dịch chứng khoán lô lẻ (từ 01-99 chứng khoán) trên tài khoản chứng khoán tại </w:t>
      </w:r>
      <w:r w:rsidRPr="00763A8D">
        <w:rPr>
          <w:rFonts w:ascii="Times New Roman" w:hAnsi="Times New Roman" w:cs="Times New Roman"/>
          <w:sz w:val="24"/>
          <w:szCs w:val="24"/>
        </w:rPr>
        <w:t>APSC</w:t>
      </w:r>
      <w:r w:rsidRPr="00763A8D">
        <w:rPr>
          <w:rFonts w:ascii="Times New Roman" w:hAnsi="Times New Roman" w:cs="Times New Roman"/>
          <w:sz w:val="24"/>
          <w:szCs w:val="24"/>
        </w:rPr>
        <w:t>, Quý khách vui lòng tham khảo Cách thức giao dịch lô lẻ như sau:</w:t>
      </w:r>
    </w:p>
    <w:tbl>
      <w:tblPr>
        <w:tblW w:w="5000" w:type="pct"/>
        <w:tblLook w:val="04A0" w:firstRow="1" w:lastRow="0" w:firstColumn="1" w:lastColumn="0" w:noHBand="0" w:noVBand="1"/>
      </w:tblPr>
      <w:tblGrid>
        <w:gridCol w:w="2748"/>
        <w:gridCol w:w="6602"/>
      </w:tblGrid>
      <w:tr w:rsidR="00763A8D" w:rsidRPr="00763A8D" w14:paraId="3A267C51" w14:textId="77777777" w:rsidTr="00763A8D">
        <w:trPr>
          <w:trHeight w:val="315"/>
        </w:trPr>
        <w:tc>
          <w:tcPr>
            <w:tcW w:w="1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C3465"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Loại chứng khoán</w:t>
            </w:r>
          </w:p>
        </w:tc>
        <w:tc>
          <w:tcPr>
            <w:tcW w:w="3496" w:type="pct"/>
            <w:tcBorders>
              <w:top w:val="single" w:sz="4" w:space="0" w:color="auto"/>
              <w:left w:val="nil"/>
              <w:bottom w:val="single" w:sz="4" w:space="0" w:color="auto"/>
              <w:right w:val="single" w:sz="4" w:space="0" w:color="auto"/>
            </w:tcBorders>
            <w:shd w:val="clear" w:color="auto" w:fill="auto"/>
            <w:noWrap/>
            <w:vAlign w:val="center"/>
            <w:hideMark/>
          </w:tcPr>
          <w:p w14:paraId="7DC2EDB7"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xml:space="preserve">HSX: </w:t>
            </w:r>
            <w:r w:rsidRPr="00763A8D">
              <w:rPr>
                <w:rFonts w:ascii="Times New Roman" w:eastAsia="Times New Roman" w:hAnsi="Times New Roman" w:cs="Times New Roman"/>
                <w:color w:val="1E1D1C"/>
                <w:sz w:val="24"/>
                <w:szCs w:val="24"/>
              </w:rPr>
              <w:t>Cổ phiếu, chứng chỉ quỹ đóng, chứng chỉ quỹ ETF, chứng quyền</w:t>
            </w:r>
          </w:p>
        </w:tc>
      </w:tr>
      <w:tr w:rsidR="00763A8D" w:rsidRPr="00763A8D" w14:paraId="34E53A9B" w14:textId="77777777" w:rsidTr="00763A8D">
        <w:trPr>
          <w:trHeight w:val="315"/>
        </w:trPr>
        <w:tc>
          <w:tcPr>
            <w:tcW w:w="150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17C0C8F" w14:textId="77777777" w:rsidR="00763A8D" w:rsidRPr="00763A8D" w:rsidRDefault="00763A8D" w:rsidP="00763A8D">
            <w:pPr>
              <w:spacing w:after="0" w:line="240" w:lineRule="auto"/>
              <w:jc w:val="center"/>
              <w:rPr>
                <w:rFonts w:ascii="Times New Roman" w:eastAsia="Times New Roman" w:hAnsi="Times New Roman" w:cs="Times New Roman"/>
                <w:color w:val="000000"/>
                <w:sz w:val="24"/>
                <w:szCs w:val="24"/>
              </w:rPr>
            </w:pPr>
            <w:r w:rsidRPr="00763A8D">
              <w:rPr>
                <w:rFonts w:ascii="Times New Roman" w:eastAsia="Times New Roman" w:hAnsi="Times New Roman" w:cs="Times New Roman"/>
                <w:color w:val="000000"/>
                <w:sz w:val="24"/>
                <w:szCs w:val="24"/>
              </w:rPr>
              <w:t> </w:t>
            </w:r>
          </w:p>
        </w:tc>
        <w:tc>
          <w:tcPr>
            <w:tcW w:w="3496" w:type="pct"/>
            <w:tcBorders>
              <w:top w:val="nil"/>
              <w:left w:val="nil"/>
              <w:bottom w:val="single" w:sz="4" w:space="0" w:color="auto"/>
              <w:right w:val="single" w:sz="4" w:space="0" w:color="auto"/>
            </w:tcBorders>
            <w:shd w:val="clear" w:color="auto" w:fill="auto"/>
            <w:noWrap/>
            <w:vAlign w:val="center"/>
            <w:hideMark/>
          </w:tcPr>
          <w:p w14:paraId="3EFAC1AF"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HNX:</w:t>
            </w:r>
            <w:r w:rsidRPr="00763A8D">
              <w:rPr>
                <w:rFonts w:ascii="Times New Roman" w:eastAsia="Times New Roman" w:hAnsi="Times New Roman" w:cs="Times New Roman"/>
                <w:color w:val="1E1D1C"/>
                <w:sz w:val="24"/>
                <w:szCs w:val="24"/>
              </w:rPr>
              <w:t xml:space="preserve"> Cổ phiếu, chứng chỉ quỹ</w:t>
            </w:r>
          </w:p>
        </w:tc>
      </w:tr>
      <w:tr w:rsidR="00763A8D" w:rsidRPr="00763A8D" w14:paraId="0C629940"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59061297"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center"/>
            <w:hideMark/>
          </w:tcPr>
          <w:p w14:paraId="5904133B"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xml:space="preserve">UPCOM: </w:t>
            </w:r>
            <w:r w:rsidRPr="00763A8D">
              <w:rPr>
                <w:rFonts w:ascii="Times New Roman" w:eastAsia="Times New Roman" w:hAnsi="Times New Roman" w:cs="Times New Roman"/>
                <w:color w:val="1E1D1C"/>
                <w:sz w:val="24"/>
                <w:szCs w:val="24"/>
              </w:rPr>
              <w:t>Cổ phiếu</w:t>
            </w:r>
          </w:p>
        </w:tc>
      </w:tr>
      <w:tr w:rsidR="00763A8D" w:rsidRPr="00763A8D" w14:paraId="0FA2F79B" w14:textId="77777777" w:rsidTr="00763A8D">
        <w:trPr>
          <w:trHeight w:val="630"/>
        </w:trPr>
        <w:tc>
          <w:tcPr>
            <w:tcW w:w="1504" w:type="pct"/>
            <w:tcBorders>
              <w:top w:val="nil"/>
              <w:left w:val="single" w:sz="4" w:space="0" w:color="auto"/>
              <w:bottom w:val="single" w:sz="4" w:space="0" w:color="auto"/>
              <w:right w:val="single" w:sz="4" w:space="0" w:color="auto"/>
            </w:tcBorders>
            <w:shd w:val="clear" w:color="auto" w:fill="auto"/>
            <w:noWrap/>
            <w:vAlign w:val="center"/>
            <w:hideMark/>
          </w:tcPr>
          <w:p w14:paraId="3D9DE56C"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Cách thức đặt lệnh</w:t>
            </w:r>
          </w:p>
        </w:tc>
        <w:tc>
          <w:tcPr>
            <w:tcW w:w="3496" w:type="pct"/>
            <w:tcBorders>
              <w:top w:val="nil"/>
              <w:left w:val="nil"/>
              <w:bottom w:val="single" w:sz="4" w:space="0" w:color="auto"/>
              <w:right w:val="single" w:sz="4" w:space="0" w:color="auto"/>
            </w:tcBorders>
            <w:shd w:val="clear" w:color="auto" w:fill="auto"/>
            <w:vAlign w:val="bottom"/>
            <w:hideMark/>
          </w:tcPr>
          <w:p w14:paraId="6D772A69"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KH có thể đặt mua/bán trên Ứng dụng di động  Alpha Mobile hoặc vào trang web giao dịch https://trading.apsc.vn/ giống như giao dịch lô chẵn</w:t>
            </w:r>
          </w:p>
        </w:tc>
      </w:tr>
      <w:tr w:rsidR="00763A8D" w:rsidRPr="00763A8D" w14:paraId="0FDEF2FC" w14:textId="77777777" w:rsidTr="00763A8D">
        <w:trPr>
          <w:trHeight w:val="315"/>
        </w:trPr>
        <w:tc>
          <w:tcPr>
            <w:tcW w:w="1504" w:type="pct"/>
            <w:tcBorders>
              <w:top w:val="nil"/>
              <w:left w:val="single" w:sz="4" w:space="0" w:color="auto"/>
              <w:bottom w:val="single" w:sz="4" w:space="0" w:color="auto"/>
              <w:right w:val="single" w:sz="4" w:space="0" w:color="auto"/>
            </w:tcBorders>
            <w:shd w:val="clear" w:color="auto" w:fill="auto"/>
            <w:noWrap/>
            <w:vAlign w:val="bottom"/>
            <w:hideMark/>
          </w:tcPr>
          <w:p w14:paraId="7A01B9B7"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Thời gian thanh toán</w:t>
            </w:r>
          </w:p>
        </w:tc>
        <w:tc>
          <w:tcPr>
            <w:tcW w:w="3496" w:type="pct"/>
            <w:tcBorders>
              <w:top w:val="nil"/>
              <w:left w:val="nil"/>
              <w:bottom w:val="single" w:sz="4" w:space="0" w:color="auto"/>
              <w:right w:val="single" w:sz="4" w:space="0" w:color="auto"/>
            </w:tcBorders>
            <w:shd w:val="clear" w:color="auto" w:fill="auto"/>
            <w:noWrap/>
            <w:vAlign w:val="bottom"/>
            <w:hideMark/>
          </w:tcPr>
          <w:p w14:paraId="2F3E9B77"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Lệnh giao dịch lô lẻ sau khi khớp cũng được thanh toán bù trừ như lệnh giao dịch bình thường</w:t>
            </w:r>
          </w:p>
        </w:tc>
      </w:tr>
      <w:tr w:rsidR="00763A8D" w:rsidRPr="00763A8D" w14:paraId="34BDE405" w14:textId="77777777" w:rsidTr="00763A8D">
        <w:trPr>
          <w:trHeight w:val="315"/>
        </w:trPr>
        <w:tc>
          <w:tcPr>
            <w:tcW w:w="1504" w:type="pct"/>
            <w:tcBorders>
              <w:top w:val="nil"/>
              <w:left w:val="single" w:sz="4" w:space="0" w:color="auto"/>
              <w:bottom w:val="single" w:sz="4" w:space="0" w:color="auto"/>
              <w:right w:val="single" w:sz="4" w:space="0" w:color="auto"/>
            </w:tcBorders>
            <w:shd w:val="clear" w:color="auto" w:fill="auto"/>
            <w:noWrap/>
            <w:vAlign w:val="bottom"/>
            <w:hideMark/>
          </w:tcPr>
          <w:p w14:paraId="771C5D59"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Đơn vị chứng khoán</w:t>
            </w:r>
          </w:p>
        </w:tc>
        <w:tc>
          <w:tcPr>
            <w:tcW w:w="3496" w:type="pct"/>
            <w:tcBorders>
              <w:top w:val="nil"/>
              <w:left w:val="nil"/>
              <w:bottom w:val="single" w:sz="4" w:space="0" w:color="auto"/>
              <w:right w:val="single" w:sz="4" w:space="0" w:color="auto"/>
            </w:tcBorders>
            <w:shd w:val="clear" w:color="auto" w:fill="auto"/>
            <w:noWrap/>
            <w:vAlign w:val="bottom"/>
            <w:hideMark/>
          </w:tcPr>
          <w:p w14:paraId="16361B31"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01 đơn vị</w:t>
            </w:r>
          </w:p>
        </w:tc>
      </w:tr>
      <w:tr w:rsidR="00763A8D" w:rsidRPr="00763A8D" w14:paraId="19AFB16D" w14:textId="77777777" w:rsidTr="00763A8D">
        <w:trPr>
          <w:trHeight w:val="315"/>
        </w:trPr>
        <w:tc>
          <w:tcPr>
            <w:tcW w:w="1504" w:type="pct"/>
            <w:tcBorders>
              <w:top w:val="nil"/>
              <w:left w:val="single" w:sz="4" w:space="0" w:color="auto"/>
              <w:bottom w:val="single" w:sz="4" w:space="0" w:color="auto"/>
              <w:right w:val="single" w:sz="4" w:space="0" w:color="auto"/>
            </w:tcBorders>
            <w:shd w:val="clear" w:color="auto" w:fill="auto"/>
            <w:noWrap/>
            <w:vAlign w:val="center"/>
            <w:hideMark/>
          </w:tcPr>
          <w:p w14:paraId="73E156A6"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Loại lệnh giao dịch</w:t>
            </w:r>
          </w:p>
        </w:tc>
        <w:tc>
          <w:tcPr>
            <w:tcW w:w="3496" w:type="pct"/>
            <w:tcBorders>
              <w:top w:val="nil"/>
              <w:left w:val="nil"/>
              <w:bottom w:val="single" w:sz="4" w:space="0" w:color="auto"/>
              <w:right w:val="single" w:sz="4" w:space="0" w:color="auto"/>
            </w:tcBorders>
            <w:shd w:val="clear" w:color="auto" w:fill="auto"/>
            <w:noWrap/>
            <w:vAlign w:val="center"/>
            <w:hideMark/>
          </w:tcPr>
          <w:p w14:paraId="26C61F68"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Chỉ được sử dụng</w:t>
            </w:r>
            <w:r w:rsidRPr="00763A8D">
              <w:rPr>
                <w:rFonts w:ascii="Times New Roman" w:eastAsia="Times New Roman" w:hAnsi="Times New Roman" w:cs="Times New Roman"/>
                <w:b/>
                <w:bCs/>
                <w:color w:val="1E1D1C"/>
                <w:sz w:val="24"/>
                <w:szCs w:val="24"/>
              </w:rPr>
              <w:t xml:space="preserve"> </w:t>
            </w:r>
            <w:r w:rsidRPr="00763A8D">
              <w:rPr>
                <w:rFonts w:ascii="Times New Roman" w:eastAsia="Times New Roman" w:hAnsi="Times New Roman" w:cs="Times New Roman"/>
                <w:b/>
                <w:bCs/>
                <w:color w:val="EF4444"/>
                <w:sz w:val="24"/>
                <w:szCs w:val="24"/>
              </w:rPr>
              <w:t>lệnh giới hạn (LO)</w:t>
            </w:r>
          </w:p>
        </w:tc>
      </w:tr>
      <w:tr w:rsidR="00763A8D" w:rsidRPr="00763A8D" w14:paraId="126FED77" w14:textId="77777777" w:rsidTr="00763A8D">
        <w:trPr>
          <w:trHeight w:val="315"/>
        </w:trPr>
        <w:tc>
          <w:tcPr>
            <w:tcW w:w="1504" w:type="pct"/>
            <w:tcBorders>
              <w:top w:val="nil"/>
              <w:left w:val="single" w:sz="4" w:space="0" w:color="auto"/>
              <w:bottom w:val="single" w:sz="4" w:space="0" w:color="auto"/>
              <w:right w:val="single" w:sz="4" w:space="0" w:color="auto"/>
            </w:tcBorders>
            <w:shd w:val="clear" w:color="auto" w:fill="auto"/>
            <w:noWrap/>
            <w:vAlign w:val="bottom"/>
            <w:hideMark/>
          </w:tcPr>
          <w:p w14:paraId="04365182"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Phương thức và thời gian giao dịch</w:t>
            </w:r>
          </w:p>
        </w:tc>
        <w:tc>
          <w:tcPr>
            <w:tcW w:w="3496" w:type="pct"/>
            <w:tcBorders>
              <w:top w:val="nil"/>
              <w:left w:val="nil"/>
              <w:bottom w:val="single" w:sz="4" w:space="0" w:color="auto"/>
              <w:right w:val="single" w:sz="4" w:space="0" w:color="auto"/>
            </w:tcBorders>
            <w:shd w:val="clear" w:color="auto" w:fill="auto"/>
            <w:noWrap/>
            <w:vAlign w:val="bottom"/>
            <w:hideMark/>
          </w:tcPr>
          <w:p w14:paraId="32E19077"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Phiên khớp lệnh định kỳ mở cửa: 9h00 - 9h15 (sàn HOSE)</w:t>
            </w:r>
          </w:p>
        </w:tc>
      </w:tr>
      <w:tr w:rsidR="00763A8D" w:rsidRPr="00763A8D" w14:paraId="3E6BA774" w14:textId="77777777" w:rsidTr="00763A8D">
        <w:trPr>
          <w:trHeight w:val="315"/>
        </w:trPr>
        <w:tc>
          <w:tcPr>
            <w:tcW w:w="150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6AF5A59A" w14:textId="77777777" w:rsidR="00763A8D" w:rsidRPr="00763A8D" w:rsidRDefault="00763A8D" w:rsidP="00763A8D">
            <w:pPr>
              <w:spacing w:after="0" w:line="240" w:lineRule="auto"/>
              <w:jc w:val="center"/>
              <w:rPr>
                <w:rFonts w:ascii="Times New Roman" w:eastAsia="Times New Roman" w:hAnsi="Times New Roman" w:cs="Times New Roman"/>
                <w:color w:val="000000"/>
                <w:sz w:val="24"/>
                <w:szCs w:val="24"/>
              </w:rPr>
            </w:pPr>
            <w:r w:rsidRPr="00763A8D">
              <w:rPr>
                <w:rFonts w:ascii="Times New Roman" w:eastAsia="Times New Roman" w:hAnsi="Times New Roman" w:cs="Times New Roman"/>
                <w:color w:val="000000"/>
                <w:sz w:val="24"/>
                <w:szCs w:val="24"/>
              </w:rPr>
              <w:t> </w:t>
            </w:r>
          </w:p>
        </w:tc>
        <w:tc>
          <w:tcPr>
            <w:tcW w:w="3496" w:type="pct"/>
            <w:tcBorders>
              <w:top w:val="nil"/>
              <w:left w:val="nil"/>
              <w:bottom w:val="single" w:sz="4" w:space="0" w:color="auto"/>
              <w:right w:val="single" w:sz="4" w:space="0" w:color="auto"/>
            </w:tcBorders>
            <w:shd w:val="clear" w:color="auto" w:fill="auto"/>
            <w:noWrap/>
            <w:vAlign w:val="bottom"/>
            <w:hideMark/>
          </w:tcPr>
          <w:p w14:paraId="6CDEE7B3"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Phiên khớp lệnh liên tục:</w:t>
            </w:r>
          </w:p>
        </w:tc>
      </w:tr>
      <w:tr w:rsidR="00763A8D" w:rsidRPr="00763A8D" w14:paraId="4D2E3700"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4303D67F"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05489950"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Sàn HOSE: 9h15 - 11h30 và 13h00 - 14h30</w:t>
            </w:r>
          </w:p>
        </w:tc>
      </w:tr>
      <w:tr w:rsidR="00763A8D" w:rsidRPr="00763A8D" w14:paraId="47519FF6"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0100E9E6"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1B19C970"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Sàn HNX: 9h00 - 14h30</w:t>
            </w:r>
          </w:p>
        </w:tc>
      </w:tr>
      <w:tr w:rsidR="00763A8D" w:rsidRPr="00763A8D" w14:paraId="400A42E9"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21727048"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3E4A3619"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Sàn Upcom: 9h00 - 15h00</w:t>
            </w:r>
          </w:p>
        </w:tc>
      </w:tr>
      <w:tr w:rsidR="00763A8D" w:rsidRPr="00763A8D" w14:paraId="757ECEA6"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64B5B8B6"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2A7C16AE"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Phiên khớp lệnh định kỳ đóng cửa: 14h30 - 14h45 (sàn HOSE và HNX)</w:t>
            </w:r>
          </w:p>
        </w:tc>
      </w:tr>
      <w:tr w:rsidR="00763A8D" w:rsidRPr="00763A8D" w14:paraId="3F091DE0"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1CCAB469"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2777EE99"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xml:space="preserve">* Phiên khớp lệnh thỏa thuận: </w:t>
            </w:r>
          </w:p>
        </w:tc>
      </w:tr>
      <w:tr w:rsidR="00763A8D" w:rsidRPr="00763A8D" w14:paraId="0CDBE959"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5BCC005A"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3C365EB4"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Sàn HOSE và HNX: 9h00 - 11h30 và 13h00 - 14h45</w:t>
            </w:r>
          </w:p>
        </w:tc>
      </w:tr>
      <w:tr w:rsidR="00763A8D" w:rsidRPr="00763A8D" w14:paraId="659DC6D7"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6B93B985"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1D411A61" w14:textId="77777777" w:rsidR="00763A8D" w:rsidRPr="00763A8D" w:rsidRDefault="00763A8D" w:rsidP="00763A8D">
            <w:pPr>
              <w:spacing w:after="0" w:line="240" w:lineRule="auto"/>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Sàn Upcom: 9h00 - 11h30 và 13h00 - 15h00</w:t>
            </w:r>
          </w:p>
        </w:tc>
      </w:tr>
      <w:tr w:rsidR="00763A8D" w:rsidRPr="00763A8D" w14:paraId="3D927E8A" w14:textId="77777777" w:rsidTr="00763A8D">
        <w:trPr>
          <w:trHeight w:val="315"/>
        </w:trPr>
        <w:tc>
          <w:tcPr>
            <w:tcW w:w="1504" w:type="pct"/>
            <w:vMerge/>
            <w:tcBorders>
              <w:top w:val="nil"/>
              <w:left w:val="single" w:sz="4" w:space="0" w:color="auto"/>
              <w:bottom w:val="single" w:sz="4" w:space="0" w:color="000000"/>
              <w:right w:val="single" w:sz="4" w:space="0" w:color="auto"/>
            </w:tcBorders>
            <w:vAlign w:val="center"/>
            <w:hideMark/>
          </w:tcPr>
          <w:p w14:paraId="70E20A82" w14:textId="77777777" w:rsidR="00763A8D" w:rsidRPr="00763A8D" w:rsidRDefault="00763A8D" w:rsidP="00763A8D">
            <w:pPr>
              <w:spacing w:after="0" w:line="240" w:lineRule="auto"/>
              <w:rPr>
                <w:rFonts w:ascii="Times New Roman" w:eastAsia="Times New Roman" w:hAnsi="Times New Roman" w:cs="Times New Roman"/>
                <w:color w:val="000000"/>
                <w:sz w:val="24"/>
                <w:szCs w:val="24"/>
              </w:rPr>
            </w:pPr>
          </w:p>
        </w:tc>
        <w:tc>
          <w:tcPr>
            <w:tcW w:w="3496" w:type="pct"/>
            <w:tcBorders>
              <w:top w:val="nil"/>
              <w:left w:val="nil"/>
              <w:bottom w:val="single" w:sz="4" w:space="0" w:color="auto"/>
              <w:right w:val="single" w:sz="4" w:space="0" w:color="auto"/>
            </w:tcBorders>
            <w:shd w:val="clear" w:color="auto" w:fill="auto"/>
            <w:noWrap/>
            <w:vAlign w:val="bottom"/>
            <w:hideMark/>
          </w:tcPr>
          <w:p w14:paraId="2ABA065A"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 Phiên khớp lệnh thỏa thuận sau giờ: 14h45 - 15h00 (sàn HOSE và HNX)</w:t>
            </w:r>
          </w:p>
        </w:tc>
      </w:tr>
      <w:tr w:rsidR="00763A8D" w:rsidRPr="00763A8D" w14:paraId="22A6CA0F" w14:textId="77777777" w:rsidTr="00763A8D">
        <w:trPr>
          <w:trHeight w:val="630"/>
        </w:trPr>
        <w:tc>
          <w:tcPr>
            <w:tcW w:w="1504" w:type="pct"/>
            <w:tcBorders>
              <w:top w:val="nil"/>
              <w:left w:val="single" w:sz="4" w:space="0" w:color="auto"/>
              <w:bottom w:val="single" w:sz="4" w:space="0" w:color="auto"/>
              <w:right w:val="single" w:sz="4" w:space="0" w:color="auto"/>
            </w:tcBorders>
            <w:shd w:val="clear" w:color="auto" w:fill="auto"/>
            <w:noWrap/>
            <w:vAlign w:val="center"/>
            <w:hideMark/>
          </w:tcPr>
          <w:p w14:paraId="380D57CA" w14:textId="77777777" w:rsidR="00763A8D" w:rsidRPr="00763A8D" w:rsidRDefault="00763A8D" w:rsidP="00763A8D">
            <w:pPr>
              <w:spacing w:after="0" w:line="240" w:lineRule="auto"/>
              <w:rPr>
                <w:rFonts w:ascii="Times New Roman" w:eastAsia="Times New Roman" w:hAnsi="Times New Roman" w:cs="Times New Roman"/>
                <w:b/>
                <w:bCs/>
                <w:color w:val="1E1D1C"/>
                <w:sz w:val="24"/>
                <w:szCs w:val="24"/>
              </w:rPr>
            </w:pPr>
            <w:r w:rsidRPr="00763A8D">
              <w:rPr>
                <w:rFonts w:ascii="Times New Roman" w:eastAsia="Times New Roman" w:hAnsi="Times New Roman" w:cs="Times New Roman"/>
                <w:b/>
                <w:bCs/>
                <w:color w:val="1E1D1C"/>
                <w:sz w:val="24"/>
                <w:szCs w:val="24"/>
              </w:rPr>
              <w:t>Bảng giá giao dịch lô lẻ</w:t>
            </w:r>
          </w:p>
        </w:tc>
        <w:tc>
          <w:tcPr>
            <w:tcW w:w="3496" w:type="pct"/>
            <w:tcBorders>
              <w:top w:val="nil"/>
              <w:left w:val="nil"/>
              <w:bottom w:val="single" w:sz="4" w:space="0" w:color="auto"/>
              <w:right w:val="single" w:sz="4" w:space="0" w:color="auto"/>
            </w:tcBorders>
            <w:shd w:val="clear" w:color="auto" w:fill="auto"/>
            <w:vAlign w:val="bottom"/>
            <w:hideMark/>
          </w:tcPr>
          <w:p w14:paraId="72EDAA2F" w14:textId="77777777" w:rsidR="00763A8D" w:rsidRPr="00763A8D" w:rsidRDefault="00763A8D" w:rsidP="00763A8D">
            <w:pPr>
              <w:spacing w:after="0" w:line="240" w:lineRule="auto"/>
              <w:jc w:val="center"/>
              <w:rPr>
                <w:rFonts w:ascii="Times New Roman" w:eastAsia="Times New Roman" w:hAnsi="Times New Roman" w:cs="Times New Roman"/>
                <w:color w:val="1E1D1C"/>
                <w:sz w:val="24"/>
                <w:szCs w:val="24"/>
              </w:rPr>
            </w:pPr>
            <w:r w:rsidRPr="00763A8D">
              <w:rPr>
                <w:rFonts w:ascii="Times New Roman" w:eastAsia="Times New Roman" w:hAnsi="Times New Roman" w:cs="Times New Roman"/>
                <w:color w:val="1E1D1C"/>
                <w:sz w:val="24"/>
                <w:szCs w:val="24"/>
              </w:rPr>
              <w:t>Các mã chứng khoán sẽ giao dịch lô lẻ riêng, không giao dịch trên bảng giá lô chẵn hiện tại.</w:t>
            </w:r>
            <w:r w:rsidRPr="00763A8D">
              <w:rPr>
                <w:rFonts w:ascii="Times New Roman" w:eastAsia="Times New Roman" w:hAnsi="Times New Roman" w:cs="Times New Roman"/>
                <w:i/>
                <w:iCs/>
                <w:color w:val="1E1D1C"/>
                <w:sz w:val="24"/>
                <w:szCs w:val="24"/>
              </w:rPr>
              <w:t xml:space="preserve"> </w:t>
            </w:r>
            <w:r w:rsidRPr="00763A8D">
              <w:rPr>
                <w:rFonts w:ascii="Times New Roman" w:eastAsia="Times New Roman" w:hAnsi="Times New Roman" w:cs="Times New Roman"/>
                <w:color w:val="1E1D1C"/>
                <w:sz w:val="24"/>
                <w:szCs w:val="24"/>
              </w:rPr>
              <w:t>Để theo dõi bảng giá giao dịch lô lẻ, Quý khách có thể xem trên app, web trading và bảng giá.</w:t>
            </w:r>
          </w:p>
        </w:tc>
      </w:tr>
    </w:tbl>
    <w:p w14:paraId="1F1735B6" w14:textId="77777777" w:rsidR="008E78D6" w:rsidRDefault="008E78D6" w:rsidP="008E78D6"/>
    <w:sectPr w:rsidR="008E7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D6"/>
    <w:rsid w:val="00014F44"/>
    <w:rsid w:val="00763A8D"/>
    <w:rsid w:val="008E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8EC8"/>
  <w15:chartTrackingRefBased/>
  <w15:docId w15:val="{FA802966-DC6C-46C6-83D1-422F6695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2511">
      <w:marLeft w:val="0"/>
      <w:marRight w:val="0"/>
      <w:marTop w:val="0"/>
      <w:marBottom w:val="0"/>
      <w:divBdr>
        <w:top w:val="none" w:sz="0" w:space="0" w:color="auto"/>
        <w:left w:val="none" w:sz="0" w:space="0" w:color="auto"/>
        <w:bottom w:val="none" w:sz="0" w:space="0" w:color="auto"/>
        <w:right w:val="none" w:sz="0" w:space="0" w:color="auto"/>
      </w:divBdr>
    </w:div>
    <w:div w:id="667824463">
      <w:marLeft w:val="0"/>
      <w:marRight w:val="0"/>
      <w:marTop w:val="0"/>
      <w:marBottom w:val="0"/>
      <w:divBdr>
        <w:top w:val="none" w:sz="0" w:space="0" w:color="auto"/>
        <w:left w:val="none" w:sz="0" w:space="0" w:color="auto"/>
        <w:bottom w:val="none" w:sz="0" w:space="0" w:color="auto"/>
        <w:right w:val="none" w:sz="0" w:space="0" w:color="auto"/>
      </w:divBdr>
      <w:divsChild>
        <w:div w:id="45956875">
          <w:marLeft w:val="0"/>
          <w:marRight w:val="0"/>
          <w:marTop w:val="0"/>
          <w:marBottom w:val="0"/>
          <w:divBdr>
            <w:top w:val="none" w:sz="0" w:space="0" w:color="auto"/>
            <w:left w:val="none" w:sz="0" w:space="0" w:color="auto"/>
            <w:bottom w:val="none" w:sz="0" w:space="0" w:color="auto"/>
            <w:right w:val="none" w:sz="0" w:space="0" w:color="auto"/>
          </w:divBdr>
          <w:divsChild>
            <w:div w:id="1038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988">
      <w:marLeft w:val="0"/>
      <w:marRight w:val="0"/>
      <w:marTop w:val="0"/>
      <w:marBottom w:val="0"/>
      <w:divBdr>
        <w:top w:val="none" w:sz="0" w:space="0" w:color="auto"/>
        <w:left w:val="none" w:sz="0" w:space="0" w:color="auto"/>
        <w:bottom w:val="none" w:sz="0" w:space="0" w:color="auto"/>
        <w:right w:val="none" w:sz="0" w:space="0" w:color="auto"/>
      </w:divBdr>
    </w:div>
    <w:div w:id="956451457">
      <w:marLeft w:val="0"/>
      <w:marRight w:val="0"/>
      <w:marTop w:val="0"/>
      <w:marBottom w:val="0"/>
      <w:divBdr>
        <w:top w:val="none" w:sz="0" w:space="0" w:color="auto"/>
        <w:left w:val="none" w:sz="0" w:space="0" w:color="auto"/>
        <w:bottom w:val="none" w:sz="0" w:space="0" w:color="auto"/>
        <w:right w:val="none" w:sz="0" w:space="0" w:color="auto"/>
      </w:divBdr>
      <w:divsChild>
        <w:div w:id="1322151822">
          <w:marLeft w:val="0"/>
          <w:marRight w:val="0"/>
          <w:marTop w:val="0"/>
          <w:marBottom w:val="0"/>
          <w:divBdr>
            <w:top w:val="none" w:sz="0" w:space="0" w:color="auto"/>
            <w:left w:val="none" w:sz="0" w:space="0" w:color="auto"/>
            <w:bottom w:val="none" w:sz="0" w:space="0" w:color="auto"/>
            <w:right w:val="none" w:sz="0" w:space="0" w:color="auto"/>
          </w:divBdr>
        </w:div>
      </w:divsChild>
    </w:div>
    <w:div w:id="1126657839">
      <w:bodyDiv w:val="1"/>
      <w:marLeft w:val="0"/>
      <w:marRight w:val="0"/>
      <w:marTop w:val="0"/>
      <w:marBottom w:val="0"/>
      <w:divBdr>
        <w:top w:val="none" w:sz="0" w:space="0" w:color="auto"/>
        <w:left w:val="none" w:sz="0" w:space="0" w:color="auto"/>
        <w:bottom w:val="none" w:sz="0" w:space="0" w:color="auto"/>
        <w:right w:val="none" w:sz="0" w:space="0" w:color="auto"/>
      </w:divBdr>
      <w:divsChild>
        <w:div w:id="640160054">
          <w:marLeft w:val="0"/>
          <w:marRight w:val="0"/>
          <w:marTop w:val="0"/>
          <w:marBottom w:val="0"/>
          <w:divBdr>
            <w:top w:val="none" w:sz="0" w:space="0" w:color="auto"/>
            <w:left w:val="none" w:sz="0" w:space="0" w:color="auto"/>
            <w:bottom w:val="none" w:sz="0" w:space="0" w:color="auto"/>
            <w:right w:val="none" w:sz="0" w:space="0" w:color="auto"/>
          </w:divBdr>
          <w:divsChild>
            <w:div w:id="18158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3120">
      <w:marLeft w:val="0"/>
      <w:marRight w:val="0"/>
      <w:marTop w:val="0"/>
      <w:marBottom w:val="0"/>
      <w:divBdr>
        <w:top w:val="none" w:sz="0" w:space="0" w:color="auto"/>
        <w:left w:val="none" w:sz="0" w:space="0" w:color="auto"/>
        <w:bottom w:val="none" w:sz="0" w:space="0" w:color="auto"/>
        <w:right w:val="none" w:sz="0" w:space="0" w:color="auto"/>
      </w:divBdr>
      <w:divsChild>
        <w:div w:id="32001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2025-05-14T02:22:00Z</dcterms:created>
  <dcterms:modified xsi:type="dcterms:W3CDTF">2025-05-14T02:35:00Z</dcterms:modified>
</cp:coreProperties>
</file>